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Privacy Policy</w:t>
      </w:r>
    </w:p>
    <w:p>
      <w:r>
        <w:t>Association of Socially Beneficial Investors</w:t>
      </w:r>
    </w:p>
    <w:p>
      <w:r>
        <w:t>Effective date: 2025-05-22</w:t>
      </w:r>
    </w:p>
    <w:p>
      <w:pPr>
        <w:pStyle w:val="Heading2"/>
      </w:pPr>
      <w:r>
        <w:t>1. Introduction</w:t>
      </w:r>
    </w:p>
    <w:p>
      <w:r>
        <w:t>The Association of Socially Beneficial Investors (hereinafter: “Controller”) is committed to the protection of personal data and fully complies with applicable data protection legislation, in particular:</w:t>
        <w:br/>
        <w:t>- Regulation (EU) 2016/679 of the European Parliament and of the Council (GDPR),</w:t>
        <w:br/>
        <w:t>- Act CXII of 2011 on the Right of Informational Self-Determination and on Freedom of Information (Infotv.).</w:t>
        <w:br/>
        <w:br/>
        <w:t>This policy aims to provide transparent and detailed information to natural persons (hereinafter: “Data Subjects”) about the processing of their personal data.</w:t>
      </w:r>
    </w:p>
    <w:p>
      <w:pPr>
        <w:pStyle w:val="Heading2"/>
      </w:pPr>
      <w:r>
        <w:t>2. Purposes, Legal Bases and Duration of Data Processing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Purpose</w:t>
            </w:r>
          </w:p>
        </w:tc>
        <w:tc>
          <w:tcPr>
            <w:tcW w:type="dxa" w:w="2160"/>
          </w:tcPr>
          <w:p>
            <w:r>
              <w:t>Data Processed</w:t>
            </w:r>
          </w:p>
        </w:tc>
        <w:tc>
          <w:tcPr>
            <w:tcW w:type="dxa" w:w="2160"/>
          </w:tcPr>
          <w:p>
            <w:r>
              <w:t>Legal Basis</w:t>
            </w:r>
          </w:p>
        </w:tc>
        <w:tc>
          <w:tcPr>
            <w:tcW w:type="dxa" w:w="2160"/>
          </w:tcPr>
          <w:p>
            <w:r>
              <w:t>Duration</w:t>
            </w:r>
          </w:p>
        </w:tc>
      </w:tr>
      <w:tr>
        <w:tc>
          <w:tcPr>
            <w:tcW w:type="dxa" w:w="2160"/>
          </w:tcPr>
          <w:p>
            <w:r>
              <w:t>Newsletter subscription</w:t>
            </w:r>
          </w:p>
        </w:tc>
        <w:tc>
          <w:tcPr>
            <w:tcW w:type="dxa" w:w="2160"/>
          </w:tcPr>
          <w:p>
            <w:r>
              <w:t>name, email address</w:t>
            </w:r>
          </w:p>
        </w:tc>
        <w:tc>
          <w:tcPr>
            <w:tcW w:type="dxa" w:w="2160"/>
          </w:tcPr>
          <w:p>
            <w:r>
              <w:t>GDPR Article 6(1)(a) – consent</w:t>
            </w:r>
          </w:p>
        </w:tc>
        <w:tc>
          <w:tcPr>
            <w:tcW w:type="dxa" w:w="2160"/>
          </w:tcPr>
          <w:p>
            <w:r>
              <w:t>Until consent is withdrawn</w:t>
            </w:r>
          </w:p>
        </w:tc>
      </w:tr>
      <w:tr>
        <w:tc>
          <w:tcPr>
            <w:tcW w:type="dxa" w:w="2160"/>
          </w:tcPr>
          <w:p>
            <w:r>
              <w:t>Event registration</w:t>
            </w:r>
          </w:p>
        </w:tc>
        <w:tc>
          <w:tcPr>
            <w:tcW w:type="dxa" w:w="2160"/>
          </w:tcPr>
          <w:p>
            <w:r>
              <w:t>name, contact details, workplace</w:t>
            </w:r>
          </w:p>
        </w:tc>
        <w:tc>
          <w:tcPr>
            <w:tcW w:type="dxa" w:w="2160"/>
          </w:tcPr>
          <w:p>
            <w:r>
              <w:t>GDPR Article 6(1)(a)</w:t>
            </w:r>
          </w:p>
        </w:tc>
        <w:tc>
          <w:tcPr>
            <w:tcW w:type="dxa" w:w="2160"/>
          </w:tcPr>
          <w:p>
            <w:r>
              <w:t>1 year after the event</w:t>
            </w:r>
          </w:p>
        </w:tc>
      </w:tr>
      <w:tr>
        <w:tc>
          <w:tcPr>
            <w:tcW w:type="dxa" w:w="2160"/>
          </w:tcPr>
          <w:p>
            <w:r>
              <w:t>Membership registry</w:t>
            </w:r>
          </w:p>
        </w:tc>
        <w:tc>
          <w:tcPr>
            <w:tcW w:type="dxa" w:w="2160"/>
          </w:tcPr>
          <w:p>
            <w:r>
              <w:t>name, address, birth data, mother’s maiden name</w:t>
            </w:r>
          </w:p>
        </w:tc>
        <w:tc>
          <w:tcPr>
            <w:tcW w:type="dxa" w:w="2160"/>
          </w:tcPr>
          <w:p>
            <w:r>
              <w:t>GDPR Article 6(1)(b) and (c)</w:t>
            </w:r>
          </w:p>
        </w:tc>
        <w:tc>
          <w:tcPr>
            <w:tcW w:type="dxa" w:w="2160"/>
          </w:tcPr>
          <w:p>
            <w:r>
              <w:t>5 years after membership ends</w:t>
            </w:r>
          </w:p>
        </w:tc>
      </w:tr>
    </w:tbl>
    <w:p>
      <w:pPr>
        <w:pStyle w:val="Heading2"/>
      </w:pPr>
      <w:r>
        <w:t>3. Consent Management</w:t>
      </w:r>
    </w:p>
    <w:p>
      <w:r>
        <w:t>Consent can be withdrawn at any time by sending an email to adatkezeles@thbe.hu. Withdrawal does not affect the lawfulness of processing based on consent before its withdrawal.</w:t>
      </w:r>
    </w:p>
    <w:p>
      <w:pPr>
        <w:pStyle w:val="Heading2"/>
      </w:pPr>
      <w:r>
        <w:t>4. Data Recipients and Processors</w:t>
      </w:r>
    </w:p>
    <w:p>
      <w:r>
        <w:t>The Controller does not disclose personal data to third parties unless:</w:t>
        <w:br/>
        <w:t>- required by law, or</w:t>
        <w:br/>
        <w:t>- the Data Subject has given explicit consent.</w:t>
        <w:br/>
        <w:br/>
        <w:t>Email newsletters are sent using the MailChimp service provider (as data processor). This service is compliant with GDPR and stores data on servers located in the USA under the EU-U.S. Data Privacy Framework.</w:t>
      </w:r>
    </w:p>
    <w:p>
      <w:pPr>
        <w:pStyle w:val="Heading2"/>
      </w:pPr>
      <w:r>
        <w:t>5. Rights of Data Subjects</w:t>
      </w:r>
    </w:p>
    <w:p>
      <w:r>
        <w:t>Data Subjects have the right to:</w:t>
        <w:br/>
        <w:t>- request information about the data processed,</w:t>
        <w:br/>
        <w:t>- access their data,</w:t>
        <w:br/>
        <w:t>- request rectification or erasure (right to be forgotten),</w:t>
        <w:br/>
        <w:t>- request restriction of processing,</w:t>
        <w:br/>
        <w:t>- object to the processing of their data,</w:t>
        <w:br/>
        <w:t>- exercise the right to data portability (GDPR Article 20).</w:t>
        <w:br/>
        <w:br/>
        <w:t>Requests can be submitted to:</w:t>
        <w:br/>
        <w:t>Email: adatkezeles@thbe.hu</w:t>
        <w:br/>
        <w:t>Postal address: 1052 Budapest, Piarista köz 2.</w:t>
      </w:r>
    </w:p>
    <w:p>
      <w:pPr>
        <w:pStyle w:val="Heading2"/>
      </w:pPr>
      <w:r>
        <w:t>6. Complaints and Legal Remedies</w:t>
      </w:r>
    </w:p>
    <w:p>
      <w:r>
        <w:t>Data Subjects have the right to lodge a complaint with the supervisory authority:</w:t>
        <w:br/>
        <w:br/>
        <w:t>Hungarian National Authority for Data Protection and Freedom of Information (NAIH)</w:t>
        <w:br/>
        <w:t>Address: 1055 Budapest, Falk Miksa utca 9-11.</w:t>
        <w:br/>
        <w:t>Website: https://www.naih.hu</w:t>
        <w:br/>
        <w:t>Email: ugyfelszolgalat@naih.hu</w:t>
        <w:br/>
        <w:t>Phone: +36 1 391 1400</w:t>
      </w:r>
    </w:p>
    <w:p>
      <w:pPr>
        <w:pStyle w:val="Heading2"/>
      </w:pPr>
      <w:r>
        <w:t>7. Technical and Organizational Measures</w:t>
      </w:r>
    </w:p>
    <w:p>
      <w:r>
        <w:t>The Controller implements appropriate security measures to protect personal data, particularly:</w:t>
        <w:br/>
        <w:t>- preventing unauthorized access,</w:t>
        <w:br/>
        <w:t>- ensuring data integrity and availability,</w:t>
        <w:br/>
        <w:t>- maintaining confidentiality.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